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81" w:rsidRPr="00F35F81" w:rsidRDefault="00F35F81" w:rsidP="00F35F81">
      <w:pPr>
        <w:shd w:val="clear" w:color="auto" w:fill="FFFFFF"/>
        <w:spacing w:before="161" w:after="161" w:line="338" w:lineRule="atLeast"/>
        <w:ind w:left="375"/>
        <w:jc w:val="center"/>
        <w:outlineLvl w:val="0"/>
        <w:rPr>
          <w:rFonts w:ascii="Times New Roman" w:eastAsia="Times New Roman" w:hAnsi="Times New Roman" w:cs="Times New Roman"/>
          <w:b/>
          <w:bCs/>
          <w:color w:val="22272F"/>
          <w:kern w:val="36"/>
          <w:sz w:val="30"/>
          <w:szCs w:val="30"/>
          <w:lang w:eastAsia="ru-RU"/>
        </w:rPr>
      </w:pPr>
      <w:r w:rsidRPr="00F35F81">
        <w:rPr>
          <w:rFonts w:ascii="Times New Roman" w:eastAsia="Times New Roman" w:hAnsi="Times New Roman" w:cs="Times New Roman"/>
          <w:b/>
          <w:bCs/>
          <w:color w:val="22272F"/>
          <w:kern w:val="36"/>
          <w:sz w:val="30"/>
          <w:szCs w:val="30"/>
          <w:lang w:eastAsia="ru-RU"/>
        </w:rPr>
        <w:t>Статья 306. Заведомо ложный донос</w:t>
      </w:r>
    </w:p>
    <w:p w:rsidR="00F35F81" w:rsidRPr="00F35F81" w:rsidRDefault="00F35F81" w:rsidP="00F35F81">
      <w:pPr>
        <w:shd w:val="clear" w:color="auto" w:fill="FFFFFF"/>
        <w:spacing w:after="0" w:line="338" w:lineRule="atLeast"/>
        <w:rPr>
          <w:rFonts w:ascii="Times New Roman" w:eastAsia="Times New Roman" w:hAnsi="Times New Roman" w:cs="Times New Roman"/>
          <w:b/>
          <w:bCs/>
          <w:color w:val="22272F"/>
          <w:sz w:val="24"/>
          <w:szCs w:val="24"/>
          <w:lang w:eastAsia="ru-RU"/>
        </w:rPr>
      </w:pPr>
      <w:bookmarkStart w:id="0" w:name="text"/>
      <w:bookmarkEnd w:id="0"/>
      <w:r w:rsidRPr="00F35F81">
        <w:rPr>
          <w:rFonts w:ascii="Times New Roman" w:eastAsia="Times New Roman" w:hAnsi="Times New Roman" w:cs="Times New Roman"/>
          <w:b/>
          <w:bCs/>
          <w:color w:val="22272F"/>
          <w:sz w:val="24"/>
          <w:szCs w:val="24"/>
          <w:lang w:eastAsia="ru-RU"/>
        </w:rPr>
        <w:t>Статья 306. Заведомо ложный донос</w:t>
      </w:r>
    </w:p>
    <w:p w:rsidR="00F35F81" w:rsidRPr="00F35F81" w:rsidRDefault="00F35F81" w:rsidP="00F35F81">
      <w:pPr>
        <w:shd w:val="clear" w:color="auto" w:fill="F0E9D3"/>
        <w:spacing w:line="264"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См. </w:t>
      </w:r>
      <w:hyperlink r:id="rId5" w:anchor="/multilink/10108000/paragraph/1202261656/number/0:0" w:history="1">
        <w:r w:rsidRPr="00F35F81">
          <w:rPr>
            <w:rFonts w:ascii="Times New Roman" w:eastAsia="Times New Roman" w:hAnsi="Times New Roman" w:cs="Times New Roman"/>
            <w:color w:val="3272C0"/>
            <w:sz w:val="24"/>
            <w:szCs w:val="24"/>
            <w:lang w:eastAsia="ru-RU"/>
          </w:rPr>
          <w:t>комментарии</w:t>
        </w:r>
      </w:hyperlink>
      <w:r w:rsidRPr="00F35F81">
        <w:rPr>
          <w:rFonts w:ascii="Times New Roman" w:eastAsia="Times New Roman" w:hAnsi="Times New Roman" w:cs="Times New Roman"/>
          <w:color w:val="464C55"/>
          <w:sz w:val="24"/>
          <w:szCs w:val="24"/>
          <w:lang w:eastAsia="ru-RU"/>
        </w:rPr>
        <w:t> к статье 306 УК РФ</w:t>
      </w:r>
    </w:p>
    <w:p w:rsidR="00F35F81" w:rsidRPr="00F35F81" w:rsidRDefault="00F35F81" w:rsidP="00F35F81">
      <w:pPr>
        <w:shd w:val="clear" w:color="auto" w:fill="F0E9D3"/>
        <w:spacing w:after="0" w:line="264" w:lineRule="atLeast"/>
        <w:rPr>
          <w:rFonts w:ascii="Times New Roman" w:eastAsia="Times New Roman" w:hAnsi="Times New Roman" w:cs="Times New Roman"/>
          <w:color w:val="464C55"/>
          <w:sz w:val="24"/>
          <w:szCs w:val="24"/>
          <w:lang w:eastAsia="ru-RU"/>
        </w:rPr>
      </w:pPr>
      <w:hyperlink r:id="rId6" w:anchor="block_21701" w:history="1">
        <w:r w:rsidRPr="00F35F81">
          <w:rPr>
            <w:rFonts w:ascii="Times New Roman" w:eastAsia="Times New Roman" w:hAnsi="Times New Roman" w:cs="Times New Roman"/>
            <w:color w:val="3272C0"/>
            <w:sz w:val="24"/>
            <w:szCs w:val="24"/>
            <w:lang w:eastAsia="ru-RU"/>
          </w:rPr>
          <w:t>Федеральным законом</w:t>
        </w:r>
      </w:hyperlink>
      <w:r w:rsidRPr="00F35F81">
        <w:rPr>
          <w:rFonts w:ascii="Times New Roman" w:eastAsia="Times New Roman" w:hAnsi="Times New Roman" w:cs="Times New Roman"/>
          <w:color w:val="464C55"/>
          <w:sz w:val="24"/>
          <w:szCs w:val="24"/>
          <w:lang w:eastAsia="ru-RU"/>
        </w:rPr>
        <w:t> от 7 декабря 2011 г. N 420-ФЗ в часть 1 статьи 306 внесены изменения</w:t>
      </w:r>
    </w:p>
    <w:p w:rsidR="00F35F81" w:rsidRPr="00F35F81" w:rsidRDefault="00F35F81" w:rsidP="00F35F81">
      <w:pPr>
        <w:shd w:val="clear" w:color="auto" w:fill="F0E9D3"/>
        <w:spacing w:line="264" w:lineRule="atLeast"/>
        <w:rPr>
          <w:rFonts w:ascii="Times New Roman" w:eastAsia="Times New Roman" w:hAnsi="Times New Roman" w:cs="Times New Roman"/>
          <w:color w:val="464C55"/>
          <w:sz w:val="24"/>
          <w:szCs w:val="24"/>
          <w:lang w:eastAsia="ru-RU"/>
        </w:rPr>
      </w:pPr>
      <w:hyperlink r:id="rId7" w:anchor="/document/5761986/block/30601" w:history="1">
        <w:r w:rsidRPr="00F35F81">
          <w:rPr>
            <w:rFonts w:ascii="Times New Roman" w:eastAsia="Times New Roman" w:hAnsi="Times New Roman" w:cs="Times New Roman"/>
            <w:color w:val="3272C0"/>
            <w:sz w:val="24"/>
            <w:szCs w:val="24"/>
            <w:lang w:eastAsia="ru-RU"/>
          </w:rPr>
          <w:t>См. текст части в предыдущей редакции</w:t>
        </w:r>
      </w:hyperlink>
    </w:p>
    <w:p w:rsidR="00F35F81" w:rsidRPr="00F35F81" w:rsidRDefault="00F35F81" w:rsidP="00F35F81">
      <w:pPr>
        <w:shd w:val="clear" w:color="auto" w:fill="FFFFFF"/>
        <w:spacing w:after="0" w:line="338"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1. </w:t>
      </w:r>
      <w:hyperlink r:id="rId8" w:anchor="block_19" w:history="1">
        <w:r w:rsidRPr="00F35F81">
          <w:rPr>
            <w:rFonts w:ascii="Times New Roman" w:eastAsia="Times New Roman" w:hAnsi="Times New Roman" w:cs="Times New Roman"/>
            <w:color w:val="3272C0"/>
            <w:sz w:val="24"/>
            <w:szCs w:val="24"/>
            <w:lang w:eastAsia="ru-RU"/>
          </w:rPr>
          <w:t>Заведомо ложный донос</w:t>
        </w:r>
      </w:hyperlink>
      <w:r w:rsidRPr="00F35F81">
        <w:rPr>
          <w:rFonts w:ascii="Times New Roman" w:eastAsia="Times New Roman" w:hAnsi="Times New Roman" w:cs="Times New Roman"/>
          <w:color w:val="464C55"/>
          <w:sz w:val="24"/>
          <w:szCs w:val="24"/>
          <w:lang w:eastAsia="ru-RU"/>
        </w:rPr>
        <w:t> о совершении преступления -</w:t>
      </w:r>
    </w:p>
    <w:p w:rsidR="00F35F81" w:rsidRPr="00F35F81" w:rsidRDefault="00F35F81" w:rsidP="00F35F81">
      <w:pPr>
        <w:shd w:val="clear" w:color="auto" w:fill="FFFFFF"/>
        <w:spacing w:after="300" w:line="338" w:lineRule="atLeast"/>
        <w:rPr>
          <w:rFonts w:ascii="Times New Roman" w:eastAsia="Times New Roman" w:hAnsi="Times New Roman" w:cs="Times New Roman"/>
          <w:color w:val="464C55"/>
          <w:sz w:val="24"/>
          <w:szCs w:val="24"/>
          <w:lang w:eastAsia="ru-RU"/>
        </w:rPr>
      </w:pPr>
      <w:proofErr w:type="gramStart"/>
      <w:r w:rsidRPr="00F35F81">
        <w:rPr>
          <w:rFonts w:ascii="Times New Roman" w:eastAsia="Times New Roman" w:hAnsi="Times New Roman" w:cs="Times New Roman"/>
          <w:color w:val="464C55"/>
          <w:sz w:val="24"/>
          <w:szCs w:val="24"/>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sidRPr="00F35F81">
        <w:rPr>
          <w:rFonts w:ascii="Times New Roman" w:eastAsia="Times New Roman" w:hAnsi="Times New Roman" w:cs="Times New Roman"/>
          <w:color w:val="464C55"/>
          <w:sz w:val="24"/>
          <w:szCs w:val="24"/>
          <w:lang w:eastAsia="ru-RU"/>
        </w:rPr>
        <w:t xml:space="preserve"> до двух лет.</w:t>
      </w:r>
    </w:p>
    <w:p w:rsidR="00F35F81" w:rsidRPr="00F35F81" w:rsidRDefault="00F35F81" w:rsidP="00F35F81">
      <w:pPr>
        <w:shd w:val="clear" w:color="auto" w:fill="F0E9D3"/>
        <w:spacing w:after="0" w:line="264" w:lineRule="atLeast"/>
        <w:rPr>
          <w:rFonts w:ascii="Times New Roman" w:eastAsia="Times New Roman" w:hAnsi="Times New Roman" w:cs="Times New Roman"/>
          <w:color w:val="464C55"/>
          <w:sz w:val="24"/>
          <w:szCs w:val="24"/>
          <w:lang w:eastAsia="ru-RU"/>
        </w:rPr>
      </w:pPr>
      <w:hyperlink r:id="rId9" w:anchor="block_21702" w:history="1">
        <w:r w:rsidRPr="00F35F81">
          <w:rPr>
            <w:rFonts w:ascii="Times New Roman" w:eastAsia="Times New Roman" w:hAnsi="Times New Roman" w:cs="Times New Roman"/>
            <w:color w:val="3272C0"/>
            <w:sz w:val="24"/>
            <w:szCs w:val="24"/>
            <w:lang w:eastAsia="ru-RU"/>
          </w:rPr>
          <w:t>Федеральным законом</w:t>
        </w:r>
      </w:hyperlink>
      <w:r w:rsidRPr="00F35F81">
        <w:rPr>
          <w:rFonts w:ascii="Times New Roman" w:eastAsia="Times New Roman" w:hAnsi="Times New Roman" w:cs="Times New Roman"/>
          <w:color w:val="464C55"/>
          <w:sz w:val="24"/>
          <w:szCs w:val="24"/>
          <w:lang w:eastAsia="ru-RU"/>
        </w:rPr>
        <w:t> от 7 декабря 2011 г. N 420-ФЗ в часть 2 статьи 306 внесены изменения</w:t>
      </w:r>
    </w:p>
    <w:p w:rsidR="00F35F81" w:rsidRPr="00F35F81" w:rsidRDefault="00F35F81" w:rsidP="00F35F81">
      <w:pPr>
        <w:shd w:val="clear" w:color="auto" w:fill="F0E9D3"/>
        <w:spacing w:line="264" w:lineRule="atLeast"/>
        <w:rPr>
          <w:rFonts w:ascii="Times New Roman" w:eastAsia="Times New Roman" w:hAnsi="Times New Roman" w:cs="Times New Roman"/>
          <w:color w:val="464C55"/>
          <w:sz w:val="24"/>
          <w:szCs w:val="24"/>
          <w:lang w:eastAsia="ru-RU"/>
        </w:rPr>
      </w:pPr>
      <w:hyperlink r:id="rId10" w:anchor="/document/5761986/block/30602" w:history="1">
        <w:r w:rsidRPr="00F35F81">
          <w:rPr>
            <w:rFonts w:ascii="Times New Roman" w:eastAsia="Times New Roman" w:hAnsi="Times New Roman" w:cs="Times New Roman"/>
            <w:color w:val="3272C0"/>
            <w:sz w:val="24"/>
            <w:szCs w:val="24"/>
            <w:lang w:eastAsia="ru-RU"/>
          </w:rPr>
          <w:t>См. текст части в предыдущей редакции</w:t>
        </w:r>
      </w:hyperlink>
    </w:p>
    <w:p w:rsidR="00F35F81" w:rsidRPr="00F35F81" w:rsidRDefault="00F35F81" w:rsidP="00F35F81">
      <w:pPr>
        <w:shd w:val="clear" w:color="auto" w:fill="FFFFFF"/>
        <w:spacing w:after="300" w:line="338"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2. То же деяние, соединенное с обвинением лица в совершении тяжкого или особо тяжкого преступления, -</w:t>
      </w:r>
    </w:p>
    <w:p w:rsidR="00F35F81" w:rsidRPr="00F35F81" w:rsidRDefault="00F35F81" w:rsidP="00F35F81">
      <w:pPr>
        <w:shd w:val="clear" w:color="auto" w:fill="FFFFFF"/>
        <w:spacing w:after="300" w:line="338"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F35F81" w:rsidRPr="00F35F81" w:rsidRDefault="00F35F81" w:rsidP="00F35F81">
      <w:pPr>
        <w:shd w:val="clear" w:color="auto" w:fill="F0E9D3"/>
        <w:spacing w:after="0" w:line="264" w:lineRule="atLeast"/>
        <w:rPr>
          <w:rFonts w:ascii="Times New Roman" w:eastAsia="Times New Roman" w:hAnsi="Times New Roman" w:cs="Times New Roman"/>
          <w:color w:val="464C55"/>
          <w:sz w:val="24"/>
          <w:szCs w:val="24"/>
          <w:lang w:eastAsia="ru-RU"/>
        </w:rPr>
      </w:pPr>
      <w:hyperlink r:id="rId11" w:anchor="block_21703" w:history="1">
        <w:r w:rsidRPr="00F35F81">
          <w:rPr>
            <w:rFonts w:ascii="Times New Roman" w:eastAsia="Times New Roman" w:hAnsi="Times New Roman" w:cs="Times New Roman"/>
            <w:color w:val="3272C0"/>
            <w:sz w:val="24"/>
            <w:szCs w:val="24"/>
            <w:lang w:eastAsia="ru-RU"/>
          </w:rPr>
          <w:t>Федеральным законом</w:t>
        </w:r>
      </w:hyperlink>
      <w:r w:rsidRPr="00F35F81">
        <w:rPr>
          <w:rFonts w:ascii="Times New Roman" w:eastAsia="Times New Roman" w:hAnsi="Times New Roman" w:cs="Times New Roman"/>
          <w:color w:val="464C55"/>
          <w:sz w:val="24"/>
          <w:szCs w:val="24"/>
          <w:lang w:eastAsia="ru-RU"/>
        </w:rPr>
        <w:t> от 7 декабря 2011 г. N 420-ФЗ в часть 3 статьи 306 внесены изменения</w:t>
      </w:r>
    </w:p>
    <w:p w:rsidR="00F35F81" w:rsidRPr="00F35F81" w:rsidRDefault="00F35F81" w:rsidP="00F35F81">
      <w:pPr>
        <w:shd w:val="clear" w:color="auto" w:fill="F0E9D3"/>
        <w:spacing w:line="264" w:lineRule="atLeast"/>
        <w:rPr>
          <w:rFonts w:ascii="Times New Roman" w:eastAsia="Times New Roman" w:hAnsi="Times New Roman" w:cs="Times New Roman"/>
          <w:color w:val="464C55"/>
          <w:sz w:val="24"/>
          <w:szCs w:val="24"/>
          <w:lang w:eastAsia="ru-RU"/>
        </w:rPr>
      </w:pPr>
      <w:hyperlink r:id="rId12" w:anchor="/document/5761986/block/30603" w:history="1">
        <w:r w:rsidRPr="00F35F81">
          <w:rPr>
            <w:rFonts w:ascii="Times New Roman" w:eastAsia="Times New Roman" w:hAnsi="Times New Roman" w:cs="Times New Roman"/>
            <w:color w:val="3272C0"/>
            <w:sz w:val="24"/>
            <w:szCs w:val="24"/>
            <w:lang w:eastAsia="ru-RU"/>
          </w:rPr>
          <w:t>См. текст части в предыдущей редакции</w:t>
        </w:r>
      </w:hyperlink>
    </w:p>
    <w:p w:rsidR="00F35F81" w:rsidRPr="00F35F81" w:rsidRDefault="00F35F81" w:rsidP="00F35F81">
      <w:pPr>
        <w:shd w:val="clear" w:color="auto" w:fill="FFFFFF"/>
        <w:spacing w:after="0" w:line="338"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3. Деяния, предусмотренные </w:t>
      </w:r>
      <w:hyperlink r:id="rId13" w:anchor="block_30601" w:history="1">
        <w:r w:rsidRPr="00F35F81">
          <w:rPr>
            <w:rFonts w:ascii="Times New Roman" w:eastAsia="Times New Roman" w:hAnsi="Times New Roman" w:cs="Times New Roman"/>
            <w:color w:val="3272C0"/>
            <w:sz w:val="24"/>
            <w:szCs w:val="24"/>
            <w:lang w:eastAsia="ru-RU"/>
          </w:rPr>
          <w:t>частями первой</w:t>
        </w:r>
      </w:hyperlink>
      <w:r w:rsidRPr="00F35F81">
        <w:rPr>
          <w:rFonts w:ascii="Times New Roman" w:eastAsia="Times New Roman" w:hAnsi="Times New Roman" w:cs="Times New Roman"/>
          <w:color w:val="464C55"/>
          <w:sz w:val="24"/>
          <w:szCs w:val="24"/>
          <w:lang w:eastAsia="ru-RU"/>
        </w:rPr>
        <w:t> или </w:t>
      </w:r>
      <w:hyperlink r:id="rId14" w:anchor="block_30602" w:history="1">
        <w:r w:rsidRPr="00F35F81">
          <w:rPr>
            <w:rFonts w:ascii="Times New Roman" w:eastAsia="Times New Roman" w:hAnsi="Times New Roman" w:cs="Times New Roman"/>
            <w:color w:val="3272C0"/>
            <w:sz w:val="24"/>
            <w:szCs w:val="24"/>
            <w:lang w:eastAsia="ru-RU"/>
          </w:rPr>
          <w:t>второй</w:t>
        </w:r>
      </w:hyperlink>
      <w:r w:rsidRPr="00F35F81">
        <w:rPr>
          <w:rFonts w:ascii="Times New Roman" w:eastAsia="Times New Roman" w:hAnsi="Times New Roman" w:cs="Times New Roman"/>
          <w:color w:val="464C55"/>
          <w:sz w:val="24"/>
          <w:szCs w:val="24"/>
          <w:lang w:eastAsia="ru-RU"/>
        </w:rPr>
        <w:t> настоящей статьи, соединенные с искусственным созданием доказательств обвинения, -</w:t>
      </w:r>
    </w:p>
    <w:p w:rsidR="00F35F81" w:rsidRPr="00F35F81" w:rsidRDefault="00F35F81" w:rsidP="00F35F81">
      <w:pPr>
        <w:shd w:val="clear" w:color="auto" w:fill="FFFFFF"/>
        <w:spacing w:after="300" w:line="338" w:lineRule="atLeast"/>
        <w:rPr>
          <w:rFonts w:ascii="Times New Roman" w:eastAsia="Times New Roman" w:hAnsi="Times New Roman" w:cs="Times New Roman"/>
          <w:color w:val="464C55"/>
          <w:sz w:val="24"/>
          <w:szCs w:val="24"/>
          <w:lang w:eastAsia="ru-RU"/>
        </w:rPr>
      </w:pPr>
      <w:r w:rsidRPr="00F35F81">
        <w:rPr>
          <w:rFonts w:ascii="Times New Roman" w:eastAsia="Times New Roman" w:hAnsi="Times New Roman" w:cs="Times New Roman"/>
          <w:color w:val="464C55"/>
          <w:sz w:val="24"/>
          <w:szCs w:val="24"/>
          <w:lang w:eastAsia="ru-RU"/>
        </w:rPr>
        <w:t>наказываются принудительными работами на срок до пяти лет либо лишением свободы на срок до шести лет.</w:t>
      </w:r>
    </w:p>
    <w:p w:rsidR="00F35F81" w:rsidRDefault="00F35F81" w:rsidP="00432DB0">
      <w:pPr>
        <w:pStyle w:val="a3"/>
        <w:shd w:val="clear" w:color="auto" w:fill="FFFFFF"/>
        <w:spacing w:before="0" w:beforeAutospacing="0" w:after="225" w:afterAutospacing="0" w:line="384" w:lineRule="atLeast"/>
        <w:jc w:val="both"/>
        <w:rPr>
          <w:rFonts w:ascii="Arial" w:hAnsi="Arial" w:cs="Arial"/>
          <w:color w:val="6F6F6F"/>
        </w:rPr>
      </w:pPr>
    </w:p>
    <w:p w:rsidR="00F35F81" w:rsidRDefault="00F35F81" w:rsidP="00432DB0">
      <w:pPr>
        <w:pStyle w:val="a3"/>
        <w:shd w:val="clear" w:color="auto" w:fill="FFFFFF"/>
        <w:spacing w:before="0" w:beforeAutospacing="0" w:after="225" w:afterAutospacing="0" w:line="384" w:lineRule="atLeast"/>
        <w:jc w:val="both"/>
        <w:rPr>
          <w:rFonts w:ascii="Arial" w:hAnsi="Arial" w:cs="Arial"/>
          <w:color w:val="6F6F6F"/>
        </w:rPr>
      </w:pPr>
    </w:p>
    <w:p w:rsidR="00F35F81" w:rsidRDefault="00F35F81" w:rsidP="00432DB0">
      <w:pPr>
        <w:pStyle w:val="a3"/>
        <w:shd w:val="clear" w:color="auto" w:fill="FFFFFF"/>
        <w:spacing w:before="0" w:beforeAutospacing="0" w:after="225" w:afterAutospacing="0" w:line="384" w:lineRule="atLeast"/>
        <w:jc w:val="both"/>
        <w:rPr>
          <w:rFonts w:ascii="Arial" w:hAnsi="Arial" w:cs="Arial"/>
          <w:color w:val="6F6F6F"/>
        </w:rPr>
      </w:pPr>
    </w:p>
    <w:p w:rsidR="00F35F81" w:rsidRDefault="00F35F81" w:rsidP="00432DB0">
      <w:pPr>
        <w:pStyle w:val="a3"/>
        <w:shd w:val="clear" w:color="auto" w:fill="FFFFFF"/>
        <w:spacing w:before="0" w:beforeAutospacing="0" w:after="225" w:afterAutospacing="0" w:line="384" w:lineRule="atLeast"/>
        <w:jc w:val="both"/>
        <w:rPr>
          <w:rFonts w:ascii="Arial" w:hAnsi="Arial" w:cs="Arial"/>
          <w:color w:val="6F6F6F"/>
        </w:rPr>
      </w:pPr>
    </w:p>
    <w:p w:rsidR="00F35F81" w:rsidRDefault="00F35F81" w:rsidP="00432DB0">
      <w:pPr>
        <w:pStyle w:val="a3"/>
        <w:shd w:val="clear" w:color="auto" w:fill="FFFFFF"/>
        <w:spacing w:before="0" w:beforeAutospacing="0" w:after="225" w:afterAutospacing="0" w:line="384" w:lineRule="atLeast"/>
        <w:jc w:val="both"/>
        <w:rPr>
          <w:rFonts w:ascii="Arial" w:hAnsi="Arial" w:cs="Arial"/>
          <w:color w:val="6F6F6F"/>
        </w:rPr>
      </w:pPr>
    </w:p>
    <w:p w:rsidR="00F35F81" w:rsidRPr="00F35F81" w:rsidRDefault="00F35F81" w:rsidP="00432DB0">
      <w:pPr>
        <w:pStyle w:val="a3"/>
        <w:shd w:val="clear" w:color="auto" w:fill="FFFFFF"/>
        <w:spacing w:before="0" w:beforeAutospacing="0" w:after="225" w:afterAutospacing="0" w:line="384" w:lineRule="atLeast"/>
        <w:jc w:val="both"/>
        <w:rPr>
          <w:rFonts w:ascii="Arial" w:hAnsi="Arial" w:cs="Arial"/>
          <w:b/>
          <w:color w:val="6F6F6F"/>
          <w:u w:val="single"/>
        </w:rPr>
      </w:pPr>
      <w:r w:rsidRPr="00F35F81">
        <w:rPr>
          <w:rFonts w:ascii="Arial" w:hAnsi="Arial" w:cs="Arial"/>
          <w:b/>
          <w:color w:val="6F6F6F"/>
          <w:u w:val="single"/>
        </w:rPr>
        <w:lastRenderedPageBreak/>
        <w:t>Прокурор разъясняет</w:t>
      </w:r>
      <w:bookmarkStart w:id="1" w:name="_GoBack"/>
      <w:bookmarkEnd w:id="1"/>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Статьей 306 Уголовного кодекса Российской Федерации установлена уголовная ответственность за заведомо ложный донос о совершении преступления. Основным объектом заведомо ложного доноса являются интересы правосудия. В качестве дополнительного непосредственного объекта этого посягательства могут выступать интересы личности, т.е. тех граждан, которых необоснованно подозревают в совершении преступления.</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Общественная опасность преступления состоит в том, что оно нарушает нормальную работу правоприменительных органов, занимающихся проверкой заведомо ложного сообщения о совершении преступления, может повлечь необоснованное возбуждение уголовного дела, привлечение к уголовной ответственности и осуждение невиновного. Неверная информация отвлекает силы и внимание органов следствия и дознания от борьбы с действительными преступлениями.</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Объективная сторона состава преступления характеризуется активными действиями, которые заключаются в заведомо ложном сообщении о совершении преступления — как о событии преступления, так и о лицах, его совершивших.</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Заведомо ложный донос может быть устным, письменным, выполненным по телефону, через других лиц и другими способами. Не имеет значения и то, назвал доносчик свое подлинное имя, намеренно изменил его или сделал анонимный донос.</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Согласно  ч.7 ст.141 УПК РФ анонимные заявления не могут служить поводом для возбуждения уголовного дела. Однако данная норма не означает, что анонимные заявления вообще не принимаются во внимание правоохранительными органами.</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Анонимные заявления, содержащие сведения о готовящемся или совершенном преступлении, могут и должны быть проверены органом, уполномоченным на проведение оперативно-розыскных мероприятий, прежде всего путем проведения соответствующих гласных или негласных оперативно-розыскных мероприятий, по результатам которых  решается вопрос  о возбуждении уголовного дела.</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 xml:space="preserve">Таким образом, анонимные сообщения о преступлениях проверяются, ложная информация отвлекает силы и внимание правоприменительных органов от борьбы с действительными преступлениями, нарушая тем самым интересы </w:t>
      </w:r>
      <w:r>
        <w:rPr>
          <w:rFonts w:ascii="Arial" w:hAnsi="Arial" w:cs="Arial"/>
          <w:color w:val="6F6F6F"/>
        </w:rPr>
        <w:lastRenderedPageBreak/>
        <w:t>правосудия. Следовательно, анонимные доносы подпадают под действие ст.306 УК РФ.</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Заведомо ложный донос является оконченным преступлением с момента получения сообщения (заявления) указанными выше органами или их должностными лицами. Субъективная сторона преступления характеризуется только прямым умыслом.  Виновный сознает, что сообщает правоохранительным либо иным органам, обязанным реагировать на это сообщение, ложные, не соответствующие действительности сведения о совершении преступления, и желает совершить эти действия, т.е. ввести в заблуждение соответствующие государственные органы.</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Мотивы ложного доноса в большинстве случаев носят личный характер (месть, зависть, ревность, неприязненные отношения, стремление скрыть истинного преступника и др.). Обычно это преступление совершается со специальной целью — возбуждение уголовного дела и привлечение конкретного невиновного лица к уголовной ответственности.</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Субъектом ложного доноса может быть любое вменяемое лицо, достигшее возраста 16 лет. Заведомо ложные показания подозреваемого о совершении преступления другим лицом, совершенные с целью избежать уголовной ответственности, состава заведомо ложного доноса не образуют, поскольку являются способом защиты от обвинения.</w:t>
      </w:r>
    </w:p>
    <w:p w:rsidR="00432DB0" w:rsidRDefault="00432DB0" w:rsidP="00432DB0">
      <w:pPr>
        <w:pStyle w:val="a3"/>
        <w:shd w:val="clear" w:color="auto" w:fill="FFFFFF"/>
        <w:spacing w:before="0" w:beforeAutospacing="0" w:after="0" w:afterAutospacing="0" w:line="384" w:lineRule="atLeast"/>
        <w:jc w:val="both"/>
        <w:rPr>
          <w:rFonts w:ascii="Arial" w:hAnsi="Arial" w:cs="Arial"/>
          <w:color w:val="6F6F6F"/>
        </w:rPr>
      </w:pPr>
      <w:r>
        <w:rPr>
          <w:rFonts w:ascii="Arial" w:hAnsi="Arial" w:cs="Arial"/>
          <w:color w:val="6F6F6F"/>
        </w:rPr>
        <w:t>Свидетели и потерпевшие, дающие ложные показания по обстоятельствам дела, должны нести уголовную ответственность по  ст. 307 УК РФ. Но если в ходе показаний они делают ложное заявление об ином преступлении, то в их действиях будет состав заведомо ложного доноса.</w:t>
      </w:r>
      <w:r>
        <w:rPr>
          <w:rFonts w:ascii="Arial" w:hAnsi="Arial" w:cs="Arial"/>
          <w:color w:val="6F6F6F"/>
        </w:rPr>
        <w:br/>
      </w:r>
      <w:proofErr w:type="gramStart"/>
      <w:r>
        <w:rPr>
          <w:rFonts w:ascii="Arial" w:hAnsi="Arial" w:cs="Arial"/>
          <w:color w:val="6F6F6F"/>
        </w:rPr>
        <w:t>За совершение, преступления, предусмотренного ч.1 ст.306 УК РФ  может быть назначено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четырехсот восьмидесяти часов, либо исправительных работ на срок до двух лет, либо принудительных работ на срок</w:t>
      </w:r>
      <w:proofErr w:type="gramEnd"/>
      <w:r>
        <w:rPr>
          <w:rFonts w:ascii="Arial" w:hAnsi="Arial" w:cs="Arial"/>
          <w:color w:val="6F6F6F"/>
        </w:rPr>
        <w:t xml:space="preserve"> до двух лет, либо арест на срок до шести месяцев, а также лишение свободы на срок до двух лет.</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 xml:space="preserve">В  части 2 ст. 306 УК РФ содержится квалифицирующий признак — донос, соединенный с обвинением лица в совершении тяжкого или особо тяжкого преступления. Для вменения этого признака необходимо, чтобы в доносе </w:t>
      </w:r>
      <w:r>
        <w:rPr>
          <w:rFonts w:ascii="Arial" w:hAnsi="Arial" w:cs="Arial"/>
          <w:color w:val="6F6F6F"/>
        </w:rPr>
        <w:lastRenderedPageBreak/>
        <w:t>содержалось указание на конкретное лицо, якобы совершившее это преступление.</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r>
        <w:rPr>
          <w:rFonts w:ascii="Arial" w:hAnsi="Arial" w:cs="Arial"/>
          <w:color w:val="6F6F6F"/>
        </w:rPr>
        <w:t>Данное преступление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32DB0" w:rsidRDefault="00432DB0" w:rsidP="00432DB0">
      <w:pPr>
        <w:pStyle w:val="a3"/>
        <w:shd w:val="clear" w:color="auto" w:fill="FFFFFF"/>
        <w:spacing w:before="0" w:beforeAutospacing="0" w:after="225" w:afterAutospacing="0" w:line="384" w:lineRule="atLeast"/>
        <w:jc w:val="both"/>
        <w:rPr>
          <w:rFonts w:ascii="Arial" w:hAnsi="Arial" w:cs="Arial"/>
          <w:color w:val="6F6F6F"/>
        </w:rPr>
      </w:pPr>
      <w:proofErr w:type="gramStart"/>
      <w:r>
        <w:rPr>
          <w:rFonts w:ascii="Arial" w:hAnsi="Arial" w:cs="Arial"/>
          <w:color w:val="6F6F6F"/>
        </w:rPr>
        <w:t>Часть 3  ст. 306 УК РФ  предусматривает уголовную ответственность за донос, соединенный с искусственным созданием доказательств обвинения,  т.е. за фальсификацию, имитацию доказательственных фактов, которых на самом деле нет (например, предоставление подставных свидетелей, изготовление фальшивых вещественных или письменных доказательств), что влечет наказание в виде принудительных работ на срок до пяти лет либо лишения свободы на срок до шести лет.</w:t>
      </w:r>
      <w:proofErr w:type="gramEnd"/>
    </w:p>
    <w:p w:rsidR="008114C2" w:rsidRDefault="008114C2"/>
    <w:sectPr w:rsidR="00811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9B"/>
    <w:rsid w:val="003E599B"/>
    <w:rsid w:val="00432DB0"/>
    <w:rsid w:val="008114C2"/>
    <w:rsid w:val="00F3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D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D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6393">
      <w:bodyDiv w:val="1"/>
      <w:marLeft w:val="0"/>
      <w:marRight w:val="0"/>
      <w:marTop w:val="0"/>
      <w:marBottom w:val="0"/>
      <w:divBdr>
        <w:top w:val="none" w:sz="0" w:space="0" w:color="auto"/>
        <w:left w:val="none" w:sz="0" w:space="0" w:color="auto"/>
        <w:bottom w:val="none" w:sz="0" w:space="0" w:color="auto"/>
        <w:right w:val="none" w:sz="0" w:space="0" w:color="auto"/>
      </w:divBdr>
    </w:div>
    <w:div w:id="1898082816">
      <w:bodyDiv w:val="1"/>
      <w:marLeft w:val="0"/>
      <w:marRight w:val="0"/>
      <w:marTop w:val="0"/>
      <w:marBottom w:val="0"/>
      <w:divBdr>
        <w:top w:val="none" w:sz="0" w:space="0" w:color="auto"/>
        <w:left w:val="none" w:sz="0" w:space="0" w:color="auto"/>
        <w:bottom w:val="none" w:sz="0" w:space="0" w:color="auto"/>
        <w:right w:val="none" w:sz="0" w:space="0" w:color="auto"/>
      </w:divBdr>
      <w:divsChild>
        <w:div w:id="1006178642">
          <w:marLeft w:val="0"/>
          <w:marRight w:val="0"/>
          <w:marTop w:val="0"/>
          <w:marBottom w:val="0"/>
          <w:divBdr>
            <w:top w:val="none" w:sz="0" w:space="0" w:color="auto"/>
            <w:left w:val="none" w:sz="0" w:space="0" w:color="auto"/>
            <w:bottom w:val="none" w:sz="0" w:space="0" w:color="auto"/>
            <w:right w:val="none" w:sz="0" w:space="0" w:color="auto"/>
          </w:divBdr>
          <w:divsChild>
            <w:div w:id="77604244">
              <w:marLeft w:val="0"/>
              <w:marRight w:val="0"/>
              <w:marTop w:val="0"/>
              <w:marBottom w:val="0"/>
              <w:divBdr>
                <w:top w:val="none" w:sz="0" w:space="0" w:color="auto"/>
                <w:left w:val="none" w:sz="0" w:space="0" w:color="auto"/>
                <w:bottom w:val="none" w:sz="0" w:space="0" w:color="auto"/>
                <w:right w:val="none" w:sz="0" w:space="0" w:color="auto"/>
              </w:divBdr>
              <w:divsChild>
                <w:div w:id="1200817603">
                  <w:marLeft w:val="0"/>
                  <w:marRight w:val="0"/>
                  <w:marTop w:val="0"/>
                  <w:marBottom w:val="0"/>
                  <w:divBdr>
                    <w:top w:val="none" w:sz="0" w:space="0" w:color="auto"/>
                    <w:left w:val="none" w:sz="0" w:space="0" w:color="auto"/>
                    <w:bottom w:val="none" w:sz="0" w:space="0" w:color="auto"/>
                    <w:right w:val="none" w:sz="0" w:space="0" w:color="auto"/>
                  </w:divBdr>
                  <w:divsChild>
                    <w:div w:id="390271091">
                      <w:marLeft w:val="0"/>
                      <w:marRight w:val="0"/>
                      <w:marTop w:val="0"/>
                      <w:marBottom w:val="0"/>
                      <w:divBdr>
                        <w:top w:val="none" w:sz="0" w:space="0" w:color="auto"/>
                        <w:left w:val="none" w:sz="0" w:space="0" w:color="auto"/>
                        <w:bottom w:val="none" w:sz="0" w:space="0" w:color="auto"/>
                        <w:right w:val="none" w:sz="0" w:space="0" w:color="auto"/>
                      </w:divBdr>
                      <w:divsChild>
                        <w:div w:id="619261465">
                          <w:marLeft w:val="0"/>
                          <w:marRight w:val="0"/>
                          <w:marTop w:val="0"/>
                          <w:marBottom w:val="300"/>
                          <w:divBdr>
                            <w:top w:val="none" w:sz="0" w:space="0" w:color="auto"/>
                            <w:left w:val="none" w:sz="0" w:space="0" w:color="auto"/>
                            <w:bottom w:val="none" w:sz="0" w:space="0" w:color="auto"/>
                            <w:right w:val="none" w:sz="0" w:space="0" w:color="auto"/>
                          </w:divBdr>
                        </w:div>
                      </w:divsChild>
                    </w:div>
                    <w:div w:id="471409611">
                      <w:marLeft w:val="0"/>
                      <w:marRight w:val="0"/>
                      <w:marTop w:val="0"/>
                      <w:marBottom w:val="0"/>
                      <w:divBdr>
                        <w:top w:val="none" w:sz="0" w:space="0" w:color="auto"/>
                        <w:left w:val="none" w:sz="0" w:space="0" w:color="auto"/>
                        <w:bottom w:val="none" w:sz="0" w:space="0" w:color="auto"/>
                        <w:right w:val="none" w:sz="0" w:space="0" w:color="auto"/>
                      </w:divBdr>
                      <w:divsChild>
                        <w:div w:id="377242236">
                          <w:marLeft w:val="0"/>
                          <w:marRight w:val="0"/>
                          <w:marTop w:val="0"/>
                          <w:marBottom w:val="300"/>
                          <w:divBdr>
                            <w:top w:val="none" w:sz="0" w:space="0" w:color="auto"/>
                            <w:left w:val="none" w:sz="0" w:space="0" w:color="auto"/>
                            <w:bottom w:val="none" w:sz="0" w:space="0" w:color="auto"/>
                            <w:right w:val="none" w:sz="0" w:space="0" w:color="auto"/>
                          </w:divBdr>
                        </w:div>
                      </w:divsChild>
                    </w:div>
                    <w:div w:id="11342227">
                      <w:marLeft w:val="0"/>
                      <w:marRight w:val="0"/>
                      <w:marTop w:val="0"/>
                      <w:marBottom w:val="0"/>
                      <w:divBdr>
                        <w:top w:val="none" w:sz="0" w:space="0" w:color="auto"/>
                        <w:left w:val="none" w:sz="0" w:space="0" w:color="auto"/>
                        <w:bottom w:val="none" w:sz="0" w:space="0" w:color="auto"/>
                        <w:right w:val="none" w:sz="0" w:space="0" w:color="auto"/>
                      </w:divBdr>
                      <w:divsChild>
                        <w:div w:id="631786234">
                          <w:marLeft w:val="0"/>
                          <w:marRight w:val="0"/>
                          <w:marTop w:val="0"/>
                          <w:marBottom w:val="300"/>
                          <w:divBdr>
                            <w:top w:val="none" w:sz="0" w:space="0" w:color="auto"/>
                            <w:left w:val="none" w:sz="0" w:space="0" w:color="auto"/>
                            <w:bottom w:val="none" w:sz="0" w:space="0" w:color="auto"/>
                            <w:right w:val="none" w:sz="0" w:space="0" w:color="auto"/>
                          </w:divBdr>
                        </w:div>
                      </w:divsChild>
                    </w:div>
                    <w:div w:id="1197080955">
                      <w:marLeft w:val="0"/>
                      <w:marRight w:val="0"/>
                      <w:marTop w:val="0"/>
                      <w:marBottom w:val="0"/>
                      <w:divBdr>
                        <w:top w:val="none" w:sz="0" w:space="0" w:color="auto"/>
                        <w:left w:val="none" w:sz="0" w:space="0" w:color="auto"/>
                        <w:bottom w:val="none" w:sz="0" w:space="0" w:color="auto"/>
                        <w:right w:val="none" w:sz="0" w:space="0" w:color="auto"/>
                      </w:divBdr>
                      <w:divsChild>
                        <w:div w:id="1326472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4924067/eb3cce1854439632414d7b5fdebebcca/" TargetMode="External"/><Relationship Id="rId13" Type="http://schemas.openxmlformats.org/officeDocument/2006/relationships/hyperlink" Target="https://base.garant.ru/10108000/a5957f5b151ce69b04e14ae89e8ea654/" TargetMode="External"/><Relationship Id="rId3" Type="http://schemas.openxmlformats.org/officeDocument/2006/relationships/settings" Target="settings.xm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70103074/1cafb24d049dcd1e7707a22d98e9858f/" TargetMode="External"/><Relationship Id="rId11" Type="http://schemas.openxmlformats.org/officeDocument/2006/relationships/hyperlink" Target="https://base.garant.ru/70103074/1cafb24d049dcd1e7707a22d98e9858f/" TargetMode="External"/><Relationship Id="rId5" Type="http://schemas.openxmlformats.org/officeDocument/2006/relationships/hyperlink" Target="http://ivo.garant.ru/" TargetMode="External"/><Relationship Id="rId15" Type="http://schemas.openxmlformats.org/officeDocument/2006/relationships/fontTable" Target="fontTable.xml"/><Relationship Id="rId10" Type="http://schemas.openxmlformats.org/officeDocument/2006/relationships/hyperlink" Target="https://ivo.garant.ru/" TargetMode="External"/><Relationship Id="rId4" Type="http://schemas.openxmlformats.org/officeDocument/2006/relationships/webSettings" Target="webSettings.xml"/><Relationship Id="rId9" Type="http://schemas.openxmlformats.org/officeDocument/2006/relationships/hyperlink" Target="https://base.garant.ru/70103074/1cafb24d049dcd1e7707a22d98e9858f/" TargetMode="External"/><Relationship Id="rId14" Type="http://schemas.openxmlformats.org/officeDocument/2006/relationships/hyperlink" Target="https://base.garant.ru/10108000/a5957f5b151ce69b04e14ae89e8ea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1123</Words>
  <Characters>6404</Characters>
  <Application>Microsoft Office Word</Application>
  <DocSecurity>0</DocSecurity>
  <Lines>53</Lines>
  <Paragraphs>15</Paragraphs>
  <ScaleCrop>false</ScaleCrop>
  <Company>SPecialiST RePack</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2024-03-26T19:36:00Z</dcterms:created>
  <dcterms:modified xsi:type="dcterms:W3CDTF">2024-03-26T19:49:00Z</dcterms:modified>
</cp:coreProperties>
</file>